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B6" w:rsidRDefault="00507BB6" w:rsidP="00507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3pt;height:594.6pt" o:ole="">
            <v:imagedata r:id="rId5" o:title=""/>
          </v:shape>
          <o:OLEObject Type="Embed" ProgID="AcroExch.Document.DC" ShapeID="_x0000_i1025" DrawAspect="Content" ObjectID="_1762353980" r:id="rId6"/>
        </w:object>
      </w:r>
    </w:p>
    <w:p w:rsidR="00507BB6" w:rsidRDefault="00507BB6" w:rsidP="00507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07BB6" w:rsidRDefault="00507BB6" w:rsidP="00507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07BB6" w:rsidRDefault="00507BB6" w:rsidP="00507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07BB6" w:rsidRDefault="00507BB6" w:rsidP="00507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07BB6" w:rsidRDefault="00507BB6" w:rsidP="00507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07BB6" w:rsidRDefault="00507BB6" w:rsidP="00507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507BB6" w:rsidRPr="00507BB6" w:rsidRDefault="00507BB6" w:rsidP="00507B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F55553" w:rsidRDefault="003C7239">
      <w:pPr>
        <w:tabs>
          <w:tab w:val="left" w:pos="540"/>
        </w:tabs>
        <w:ind w:left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Рабочая программа разработана в соответствии с:</w:t>
      </w:r>
    </w:p>
    <w:p w:rsidR="00F55553" w:rsidRDefault="003C7239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законом Российской Федерации от 29.12.2012 года № 273 –ФЗ «Об образовании в Российской Федерации»; </w:t>
      </w:r>
    </w:p>
    <w:p w:rsidR="00F55553" w:rsidRDefault="003C7239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Федеральным образовательным стандартом основного общего образования (2010 год);</w:t>
      </w:r>
    </w:p>
    <w:p w:rsidR="00F55553" w:rsidRDefault="003C7239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письмом департамента общего образования Министерства образования и науки Российской Федерации «О примерной основной образовательной программе основного общего образования» от 01 ноября 2011 г. № 03-766;</w:t>
      </w:r>
    </w:p>
    <w:p w:rsidR="00F55553" w:rsidRDefault="003C7239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приказом Министерства образования и науки РФ от 29.12.2014г. N1644 "О внесении изменений в приказ Министерства образования и науки РФ от 17.12.2010г. N1897 "Об утверждении ФГОС основного общего образования";</w:t>
      </w:r>
    </w:p>
    <w:p w:rsidR="00F55553" w:rsidRDefault="003C7239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приказом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F55553" w:rsidRDefault="003C7239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примерной основной образовательной программой основного общего образования;</w:t>
      </w:r>
    </w:p>
    <w:p w:rsidR="00F55553" w:rsidRDefault="003C7239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основной образовательной программой</w:t>
      </w:r>
      <w:r w:rsidR="00766E7C">
        <w:rPr>
          <w:rFonts w:ascii="Times New Roman" w:eastAsia="Times New Roman" w:hAnsi="Times New Roman" w:cs="Times New Roman"/>
          <w:sz w:val="24"/>
        </w:rPr>
        <w:t xml:space="preserve"> основного общего образования МК</w:t>
      </w:r>
      <w:r>
        <w:rPr>
          <w:rFonts w:ascii="Times New Roman" w:eastAsia="Times New Roman" w:hAnsi="Times New Roman" w:cs="Times New Roman"/>
          <w:sz w:val="24"/>
        </w:rPr>
        <w:t>ОУ</w:t>
      </w:r>
      <w:r w:rsidR="00766E7C">
        <w:rPr>
          <w:rFonts w:ascii="Times New Roman" w:eastAsia="Times New Roman" w:hAnsi="Times New Roman" w:cs="Times New Roman"/>
          <w:sz w:val="24"/>
        </w:rPr>
        <w:t xml:space="preserve"> «Стальская гимназия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766E7C" w:rsidRDefault="003C7239" w:rsidP="00766E7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учебным планом </w:t>
      </w:r>
      <w:r w:rsidR="00766E7C">
        <w:rPr>
          <w:rFonts w:ascii="Times New Roman" w:eastAsia="Times New Roman" w:hAnsi="Times New Roman" w:cs="Times New Roman"/>
          <w:sz w:val="24"/>
        </w:rPr>
        <w:t>МКОУ «Стальская гимназия»</w:t>
      </w:r>
    </w:p>
    <w:p w:rsidR="00F55553" w:rsidRDefault="003C723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Д</w:t>
      </w:r>
      <w:r w:rsidR="00766E7C">
        <w:rPr>
          <w:rFonts w:ascii="Times New Roman" w:eastAsia="Times New Roman" w:hAnsi="Times New Roman" w:cs="Times New Roman"/>
          <w:sz w:val="24"/>
        </w:rPr>
        <w:t>анная программа рассчитана на 68 часов</w:t>
      </w:r>
      <w:r>
        <w:rPr>
          <w:rFonts w:ascii="Times New Roman" w:eastAsia="Times New Roman" w:hAnsi="Times New Roman" w:cs="Times New Roman"/>
          <w:sz w:val="24"/>
        </w:rPr>
        <w:t xml:space="preserve">, 34 рабочие недели  в соответствии </w:t>
      </w:r>
      <w:r w:rsidR="00766E7C">
        <w:rPr>
          <w:rFonts w:ascii="Times New Roman" w:eastAsia="Times New Roman" w:hAnsi="Times New Roman" w:cs="Times New Roman"/>
          <w:sz w:val="24"/>
        </w:rPr>
        <w:t>с годовым учебным планом на 2023-2024</w:t>
      </w:r>
      <w:r>
        <w:rPr>
          <w:rFonts w:ascii="Times New Roman" w:eastAsia="Times New Roman" w:hAnsi="Times New Roman" w:cs="Times New Roman"/>
          <w:sz w:val="24"/>
        </w:rPr>
        <w:t xml:space="preserve"> уч. год, годовым календарным учебным графиком.</w:t>
      </w:r>
    </w:p>
    <w:p w:rsidR="00F55553" w:rsidRDefault="00F55553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01010"/>
          <w:sz w:val="24"/>
          <w:u w:val="single"/>
          <w:shd w:val="clear" w:color="auto" w:fill="FFFFFF"/>
        </w:rPr>
        <w:t>Личностные:</w:t>
      </w:r>
    </w:p>
    <w:p w:rsidR="00F55553" w:rsidRDefault="003C723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воспитание ценностного отношения к родному языку и литературе на родном языке как хранителю культуры, включение в культурно - языковое поле своего народа;</w:t>
      </w:r>
    </w:p>
    <w:p w:rsidR="00F55553" w:rsidRDefault="003C723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приобщение к литературному наследию своего народа;</w:t>
      </w:r>
    </w:p>
    <w:p w:rsidR="00F55553" w:rsidRDefault="003C723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формирование причастности к свершениям и традициям своего народа;</w:t>
      </w:r>
    </w:p>
    <w:p w:rsidR="00F55553" w:rsidRDefault="003C7239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осознание исторической преемственности поколений, своей ответственности за сохранение культуры народа.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01010"/>
          <w:sz w:val="24"/>
          <w:u w:val="single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101010"/>
          <w:sz w:val="24"/>
          <w:u w:val="single"/>
          <w:shd w:val="clear" w:color="auto" w:fill="FFFFFF"/>
        </w:rPr>
        <w:t>:</w:t>
      </w:r>
    </w:p>
    <w:p w:rsidR="00F55553" w:rsidRDefault="003C7239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F55553" w:rsidRDefault="003C7239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101010"/>
          <w:sz w:val="24"/>
          <w:u w:val="single"/>
          <w:shd w:val="clear" w:color="auto" w:fill="FFFFFF"/>
        </w:rPr>
        <w:t>Предметные: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Понимание взаимосвязи языка, культуры и истории народа, говорящего на нём: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осознание роли русского родного языка в жизни общества и государства, в современном мире;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осознание роли русского родного языка в жизни человека;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осознание языка как развивающегося явления, взаимосвязи исторического развития языка с историей общества;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lastRenderedPageBreak/>
        <w:t>осознание национального своеобразия, богатства, выразительности русского родного языка;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понимание и истолкование значения слов с национально-культурным компонентом, правильное употребление их в речи;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понимание слов с живой внутренней формой;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характеристика лексики с точки зрения происхождения: лексика исконно русская и заимствованная;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понимание процессов заимствования лексики как результата взаимодействия национальных культур;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характеристика заимствованных слов по языку-источнику (из славянских и неславянских языков), времени вхождения (самые древние и более поздние);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 понимание причин изменений в словарном составе языка;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определение значения современных неологизмов, характеристика неологизмов по сфере употребления и стилистической окраске;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lastRenderedPageBreak/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высказываний: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стремление к речевому самосовершенствованию, овладение основными стилистическими ресурсами лексики и фразеологии языка: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осознание важности соблюдения норм современного русского литературного языка для культурного человека;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соблюдение на письме и в устной речи норм современного русского литературного языка и правил речевого этикета;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стремление к речевому самосовершенствованию;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формирование ответственности за языковую культуру как общечеловеческую ценность;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соблюдение основных орфоэпических и акцентологических норм современного русского литературного языка: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различение произносительных различий в русском языке, обусловленных темпом речи и стилями речи;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различение вариантов орфоэпической и акцентологической нормы; употребление слов с учётом произносительных вариантов орфоэпической нормы;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употребление слов с учётом стилистических вариантов орфоэпической нормы;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понимание активных процессов в области произношения и ударения;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соблюдение основных лексических норм современного русского литературного языка: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нормы употребления синонимов, антонимов, омонимов, паронимов;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употребление слова в соответствии с его лексическим значением и требованием лексической сочетаемости;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употребление терминов в научном стиле речи, в публицистике, художественной литературе, разговорной речи; опознавание частотных примеров тавтологии и плеоназма;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различение стилистических вариантов лексической нормы;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lastRenderedPageBreak/>
        <w:t>употребление имён существительных, прилагательных, глаголов с учётом стилистических вариантов лексической нормы;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употребление синонимов, антонимов, омонимов с учётом стилистических вариантов лексической нормы;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различение типичных речевых ошибок;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редактирование текста с целью исправления речевых ошибок; выявление и исправление речевых ошибок в устной речи;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соблюдение основных грамматических норм современного русского литературного языка: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различение вариантов грамматической нормы: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соблюдение основных норм русского речевого этикета;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ситуациях делового общения;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понимание активных процессов в русском речевом этикете;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соблюдение основных орфографических норм современного русского литературного языка (в рамках изученного в основном курсе);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соблюдение основных пунктуационных норм современного русского литературного языки (в рамках изученного в основном курсе);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использование толковых, в том числе мультимедийных, словарей для определения лексического значения слова, особенностей употребления;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использование словарей синонимов, антонимов, омонимов, паронимов для уточнения значения слов, подбора к ним синонимов, антонимов, омонимов, паронимов, а также в процессе редактирования текста;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владение различными видами слушания (детальным, выборочным, ознакомительным, критическим, интерактивным) монологической речи,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учебно-научных, художественных, публицистических текстов различных функционально-смысловых типов речи;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владение различными видами чтения учебно-научных, художественных, публицистических текстов различных функционально-смысловых типов речи;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умение дифференцировать и интегрировать информацию прочитанного и прослушанного текста;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 xml:space="preserve"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</w:t>
      </w: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lastRenderedPageBreak/>
        <w:t>текста и определять средства их выражения; определять начало и конец темы; выявлять логический план текста;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проведение анализа прослушанного или прочитанного текста;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владение умениями информационной переработки прослушанного или прочитанного текста; владение правилами информационной безопасности при общении в социальных сетях;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уместное использование коммуникативных стратегий и тактик устного общения;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участие в беседе, споре, владение правилами корректного речевого поведения в споре;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умение строить устные учебно-научные сообщения различных видов, рецензию на проектную работу одноклассника, доклад; принимать участие в учебно-научной дискуссии;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создание устных и письменных текстов описательного типа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 xml:space="preserve">создание устных и письменных текстов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аргументативного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 xml:space="preserve"> типа; оценка причин неэффективной аргументации в учебно-научном общении;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создание текста как результата проектной (исследовательской) деятельности;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чтение, комплексный анализ и создание текстов публицистических жанров;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чтение, комплексный анализ и интерпретация текстов фольклора и художественных текстов или их фрагментов;</w:t>
      </w:r>
    </w:p>
    <w:p w:rsidR="00F55553" w:rsidRDefault="003C7239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 </w:t>
      </w:r>
    </w:p>
    <w:p w:rsidR="00F55553" w:rsidRDefault="003C7239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 xml:space="preserve">СОДЕРЖАНИЕ </w:t>
      </w:r>
      <w:r w:rsidR="007F2FD9"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УЧЕБНОГО ПРЕДМЕТА «РУССКИЙ РОДНОЙ ЯЗЫК</w:t>
      </w: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»</w:t>
      </w:r>
    </w:p>
    <w:p w:rsidR="00F55553" w:rsidRDefault="00766E7C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7 КЛАСС (68 часов</w:t>
      </w:r>
      <w:r w:rsidR="003C7239"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)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Р</w:t>
      </w:r>
      <w:r w:rsidR="00766E7C"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 xml:space="preserve">аздел 1. Язык и культура 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>
        <w:rPr>
          <w:rFonts w:ascii="Times New Roman" w:eastAsia="Times New Roman" w:hAnsi="Times New Roman" w:cs="Times New Roman"/>
          <w:i/>
          <w:color w:val="101010"/>
          <w:sz w:val="24"/>
          <w:shd w:val="clear" w:color="auto" w:fill="FFFFFF"/>
        </w:rPr>
        <w:t>губернатор, диакон, ваучер, агитационный пункт, большевик, колхоз и т.п.</w:t>
      </w: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).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F55553" w:rsidRDefault="00766E7C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 xml:space="preserve">Раздел 2. Культура речи 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Основные орфоэпические нормы</w:t>
      </w: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 xml:space="preserve"> современного русского литературного языка. Нормы ударения в полных причастиях‚ кратких формах страдательных причастий прошедшего </w:t>
      </w: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lastRenderedPageBreak/>
        <w:t>времени‚ деепричастиях‚ наречиях. Нормы постановки ударения в словоформах с непроизводными предлогами (</w:t>
      </w:r>
      <w:r>
        <w:rPr>
          <w:rFonts w:ascii="Times New Roman" w:eastAsia="Times New Roman" w:hAnsi="Times New Roman" w:cs="Times New Roman"/>
          <w:i/>
          <w:color w:val="101010"/>
          <w:sz w:val="24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b/>
          <w:i/>
          <w:color w:val="101010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i/>
          <w:color w:val="101010"/>
          <w:sz w:val="24"/>
          <w:shd w:val="clear" w:color="auto" w:fill="FFFFFF"/>
        </w:rPr>
        <w:t> дом‚ н</w:t>
      </w:r>
      <w:r>
        <w:rPr>
          <w:rFonts w:ascii="Times New Roman" w:eastAsia="Times New Roman" w:hAnsi="Times New Roman" w:cs="Times New Roman"/>
          <w:b/>
          <w:i/>
          <w:color w:val="101010"/>
          <w:sz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i/>
          <w:color w:val="101010"/>
          <w:sz w:val="24"/>
          <w:shd w:val="clear" w:color="auto" w:fill="FFFFFF"/>
        </w:rPr>
        <w:t> гору</w:t>
      </w: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)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Основные лексические нормы современного русского литературного языка. </w:t>
      </w: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Основные грамматические нормы современного русского литературного языка. </w:t>
      </w: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</w:r>
      <w:r>
        <w:rPr>
          <w:rFonts w:ascii="Times New Roman" w:eastAsia="Times New Roman" w:hAnsi="Times New Roman" w:cs="Times New Roman"/>
          <w:i/>
          <w:color w:val="101010"/>
          <w:sz w:val="24"/>
          <w:shd w:val="clear" w:color="auto" w:fill="FFFFFF"/>
        </w:rPr>
        <w:t>очутиться, победить, убедить, учредить, утвердить</w:t>
      </w: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</w:r>
      <w:r>
        <w:rPr>
          <w:rFonts w:ascii="Times New Roman" w:eastAsia="Times New Roman" w:hAnsi="Times New Roman" w:cs="Times New Roman"/>
          <w:i/>
          <w:color w:val="101010"/>
          <w:sz w:val="24"/>
          <w:shd w:val="clear" w:color="auto" w:fill="FFFFFF"/>
        </w:rPr>
        <w:t>висящий – висячий, горящий – горячий</w:t>
      </w: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>
        <w:rPr>
          <w:rFonts w:ascii="Times New Roman" w:eastAsia="Times New Roman" w:hAnsi="Times New Roman" w:cs="Times New Roman"/>
          <w:i/>
          <w:color w:val="101010"/>
          <w:sz w:val="24"/>
          <w:shd w:val="clear" w:color="auto" w:fill="FFFFFF"/>
        </w:rPr>
        <w:t>махаешь – машешь; обусловливать, сосредоточивать, уполномочивать, оспаривать, удостаивать, облагораживать</w:t>
      </w: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).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Речевой этикет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Раздел 3. Речь. Р</w:t>
      </w:r>
      <w:r w:rsidR="00766E7C"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ечевая деятельность. Текст</w:t>
      </w:r>
      <w:r w:rsidR="007F2FD9"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Язык и речь. Виды речевой деятельности  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 xml:space="preserve"> и др., сохранение инициативы в диалоге, уклонение от инициативы, завершение диалога и др.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Текст как единица языка и речи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аргументативного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 xml:space="preserve"> типа: рассуждение, доказательство, объяснение.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Функциональные разновидности языка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 xml:space="preserve">Язык художественной литературы.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Фактуальная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>подтекстная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t xml:space="preserve"> информация в текстах художественного стиля речи. Сильные позиции в художественных текстах. Притча.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  <w:lastRenderedPageBreak/>
        <w:t> </w:t>
      </w:r>
    </w:p>
    <w:p w:rsidR="00F55553" w:rsidRDefault="003C7239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Тематическое планирование уроков  в 7-м  классе</w:t>
      </w:r>
    </w:p>
    <w:p w:rsidR="00F55553" w:rsidRDefault="00766E7C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 (2</w:t>
      </w:r>
      <w:r w:rsidR="003C7239"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 xml:space="preserve"> час</w:t>
      </w: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а в неделю/68 часов</w:t>
      </w:r>
      <w:r w:rsidR="003C7239"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 xml:space="preserve"> в год)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4021"/>
        <w:gridCol w:w="1116"/>
        <w:gridCol w:w="1488"/>
        <w:gridCol w:w="2060"/>
      </w:tblGrid>
      <w:tr w:rsidR="00F55553" w:rsidTr="003C7239">
        <w:trPr>
          <w:trHeight w:val="1"/>
        </w:trPr>
        <w:tc>
          <w:tcPr>
            <w:tcW w:w="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№</w:t>
            </w:r>
          </w:p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п /п</w:t>
            </w:r>
          </w:p>
        </w:tc>
        <w:tc>
          <w:tcPr>
            <w:tcW w:w="4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Тема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Кол-во</w:t>
            </w:r>
          </w:p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часов</w:t>
            </w: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В том числе</w:t>
            </w:r>
          </w:p>
        </w:tc>
      </w:tr>
      <w:tr w:rsidR="00E84D4E" w:rsidTr="00B36D16">
        <w:trPr>
          <w:trHeight w:val="1"/>
        </w:trPr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Контрольные работы</w:t>
            </w:r>
          </w:p>
        </w:tc>
      </w:tr>
      <w:tr w:rsidR="00E84D4E" w:rsidTr="006C4694">
        <w:trPr>
          <w:trHeight w:val="1"/>
        </w:trPr>
        <w:tc>
          <w:tcPr>
            <w:tcW w:w="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Тест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Творческая работа</w:t>
            </w:r>
          </w:p>
        </w:tc>
      </w:tr>
      <w:tr w:rsidR="00F55553" w:rsidTr="003C7239">
        <w:trPr>
          <w:trHeight w:val="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1.     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Язык и культура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827A41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               1</w:t>
            </w:r>
          </w:p>
        </w:tc>
      </w:tr>
      <w:tr w:rsidR="00F55553" w:rsidTr="003C7239">
        <w:trPr>
          <w:trHeight w:val="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2.     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Культура речи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827A41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          1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E84D4E" w:rsidTr="0039584C">
        <w:trPr>
          <w:trHeight w:val="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3.     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Речь. Речевая деятельность. Текст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827A41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  <w:r w:rsidR="007F2FD9"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          1 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               1</w:t>
            </w:r>
          </w:p>
        </w:tc>
      </w:tr>
      <w:tr w:rsidR="00E84D4E" w:rsidTr="00BE5C3E">
        <w:trPr>
          <w:trHeight w:val="1"/>
        </w:trPr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ИТОГО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827A41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68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E84D4E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</w:tbl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 </w:t>
      </w:r>
    </w:p>
    <w:p w:rsidR="00F55553" w:rsidRDefault="00F55553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</w:p>
    <w:p w:rsidR="00F55553" w:rsidRDefault="003C7239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Календарно-тематическое планирование по учебному предмету «Родной яз</w:t>
      </w:r>
      <w:r w:rsidR="00766E7C"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 xml:space="preserve">ык (русский)» </w:t>
      </w:r>
      <w:r w:rsidR="00827A41"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для 7-го класса (68</w:t>
      </w: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 xml:space="preserve"> часа)</w:t>
      </w:r>
    </w:p>
    <w:p w:rsidR="00F55553" w:rsidRDefault="003C7239">
      <w:pPr>
        <w:spacing w:after="180" w:line="240" w:lineRule="auto"/>
        <w:rPr>
          <w:rFonts w:ascii="Times New Roman" w:eastAsia="Times New Roman" w:hAnsi="Times New Roman" w:cs="Times New Roman"/>
          <w:color w:val="1010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hd w:val="clear" w:color="auto" w:fill="FFFFFF"/>
        </w:rPr>
        <w:t> </w:t>
      </w: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6001"/>
        <w:gridCol w:w="849"/>
        <w:gridCol w:w="983"/>
        <w:gridCol w:w="851"/>
      </w:tblGrid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№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Тема урока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Кол-во часов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Дата (план)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Дата (факт)</w:t>
            </w:r>
          </w:p>
        </w:tc>
      </w:tr>
      <w:tr w:rsidR="00F55553" w:rsidTr="00F514C6">
        <w:trPr>
          <w:trHeight w:val="1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7F2FD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Раздел 1. Язык и культура (21</w:t>
            </w:r>
            <w:r w:rsidR="003C7239"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часов)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Русский язык как развивающееся явление. Связь исторического развития языка с историей общества.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Факторы, влияющие на развитие языка: социально-политические события и изменения в обществе, развитие науки и техники, влияние других языков.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Устаревшие слова как живые свидетели истории.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4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Историзмы как слова, обозначающие предметы и явления предшествующих эпох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827A41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5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Историзмы как слова, вышедшие из употребления по причине ухода из общественной жизни обозначенных ими предметов и явлений, в том числе национально-бытовых реалий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827A41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lastRenderedPageBreak/>
              <w:t>6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Архаизмы как слова, имеющие в современном русском языке синонимы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7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Творческая работа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8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01010"/>
                <w:sz w:val="24"/>
              </w:rPr>
              <w:t>Анализ творческой работы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9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Группы лексических единиц по степени устарелости. Перераспределение пластов лексики между активным и пассивным запасом слов.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10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Актуализация устаревшей лексики в новом речевой контексте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  <w:r w:rsidR="00E84D4E"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Лексические заимствования последних десятилетий. Употребление иноязычных слов как проблема культуры речи.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F514C6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Раздел 2. Культура речи (22</w:t>
            </w:r>
            <w:r w:rsidR="003C7239"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 xml:space="preserve"> часов).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12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Основные орфоэпические нормы</w:t>
            </w:r>
          </w:p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      </w:r>
            <w:r>
              <w:rPr>
                <w:rFonts w:ascii="Times New Roman" w:eastAsia="Times New Roman" w:hAnsi="Times New Roman" w:cs="Times New Roman"/>
                <w:i/>
                <w:color w:val="101010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color w:val="10101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101010"/>
                <w:sz w:val="24"/>
              </w:rPr>
              <w:t> дом‚ н</w:t>
            </w:r>
            <w:r>
              <w:rPr>
                <w:rFonts w:ascii="Times New Roman" w:eastAsia="Times New Roman" w:hAnsi="Times New Roman" w:cs="Times New Roman"/>
                <w:b/>
                <w:i/>
                <w:color w:val="101010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101010"/>
                <w:sz w:val="24"/>
              </w:rPr>
              <w:t> гору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912682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13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Основные лексические нормы современного русского литературного языка.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827A41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14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Основные грамматические нормы современного русского литературного языка.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 </w:t>
            </w:r>
            <w:r>
              <w:rPr>
                <w:rFonts w:ascii="Times New Roman" w:eastAsia="Times New Roman" w:hAnsi="Times New Roman" w:cs="Times New Roman"/>
                <w:i/>
                <w:color w:val="101010"/>
                <w:sz w:val="24"/>
              </w:rPr>
              <w:t>очутиться, победить, убедить, учредить, утвердить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)‚ формы глаголов совершенного и несовершенного вида‚ формы глаголов в повелительном наклонении. Нормы употребления в речи однокоренных слов типа </w:t>
            </w:r>
            <w:r>
              <w:rPr>
                <w:rFonts w:ascii="Times New Roman" w:eastAsia="Times New Roman" w:hAnsi="Times New Roman" w:cs="Times New Roman"/>
                <w:i/>
                <w:color w:val="101010"/>
                <w:sz w:val="24"/>
              </w:rPr>
              <w:t>висящий – висячий, горящий – горячий</w:t>
            </w: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. 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912682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15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Литературный и разговорный варианты грамматической норм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16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Тест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lastRenderedPageBreak/>
              <w:t>17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01010"/>
                <w:sz w:val="24"/>
              </w:rPr>
              <w:t>Анализ тестовой работы.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18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Речевой этикет</w:t>
            </w:r>
          </w:p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Русская этикетная речевая манера общения: умеренная громкость речи‚ средний темп речи.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19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Русская этикетная речевая манера общения: сдержанная артикуляция‚ эмоциональность речи‚ ровная интонация.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20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Запрет на употребление грубых слов, выражений, фраз. Исключение категоричности в разговоре.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Невербальный (несловесный) этикет общения. Этикет использования изобразительных жестов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22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Замещающие и сопровождающие жесты.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9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 xml:space="preserve">Раздел 3. Речь. </w:t>
            </w:r>
            <w:r w:rsidR="00F514C6"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 xml:space="preserve">Речевая деятельность. Текст (25 </w:t>
            </w: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часов)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23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Язык и речь. Виды речевой деятельности</w:t>
            </w:r>
          </w:p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самопрезентация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 и др., сохранение инициативы в диалоге, уклонение от инициативы, завершение диалога и др.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24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Текст как единица языка и речи</w:t>
            </w:r>
          </w:p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Текст, основные признаки текста: смысловая цельность, информативность, связность. Виды абзацев. Заголовки текстов, их типы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25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Основные типы текстовых структур: индуктивные, дедуктивные, рамочные (дедуктивно-индуктивные), стержневые (индуктивно-дедуктивные) структуры. Информативная функция заголовков.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26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Тексты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аргументативного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 типа: рассуждение, доказательство, объяснение.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27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Творческая работа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28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101010"/>
                <w:sz w:val="24"/>
              </w:rPr>
              <w:t>Анализ творческой работы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29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01010"/>
                <w:sz w:val="24"/>
              </w:rPr>
              <w:t>Функциональные разновидности языка</w:t>
            </w:r>
          </w:p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Разговорная речь. Беседа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912682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30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Спор, виды споров. Правила поведения в споре, как управлять собой и собеседником. Корректные и некорректные приёмы ведения спора.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Публицистический стиль. Путевые записки. Текст рекламного объявления, его языковые и структурные особенности.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912682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436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lastRenderedPageBreak/>
              <w:t>32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Язык художественной литературы.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Фактуальная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подтекстная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 xml:space="preserve"> информация в текстах художественного стиля речи. Сильные позиции в художественных текстах. Притча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E84D4E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33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Тест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  <w:tr w:rsidR="00F55553" w:rsidTr="00F514C6">
        <w:trPr>
          <w:trHeight w:val="1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34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Анализ тестовой работы. Итоговый урок.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F55553" w:rsidRDefault="003C7239">
            <w:pPr>
              <w:spacing w:after="180" w:line="240" w:lineRule="auto"/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</w:rPr>
              <w:t> </w:t>
            </w:r>
          </w:p>
        </w:tc>
      </w:tr>
    </w:tbl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p w:rsidR="00F55553" w:rsidRDefault="00F55553">
      <w:pPr>
        <w:rPr>
          <w:rFonts w:ascii="Times New Roman" w:eastAsia="Times New Roman" w:hAnsi="Times New Roman" w:cs="Times New Roman"/>
          <w:sz w:val="24"/>
        </w:rPr>
      </w:pPr>
    </w:p>
    <w:sectPr w:rsidR="00F55553" w:rsidSect="00373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A05"/>
    <w:multiLevelType w:val="multilevel"/>
    <w:tmpl w:val="0AEC7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F7613"/>
    <w:multiLevelType w:val="multilevel"/>
    <w:tmpl w:val="FC341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FA7E2A"/>
    <w:multiLevelType w:val="multilevel"/>
    <w:tmpl w:val="CB96D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4A4BB9"/>
    <w:multiLevelType w:val="multilevel"/>
    <w:tmpl w:val="8ECCB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553"/>
    <w:rsid w:val="001C3E0E"/>
    <w:rsid w:val="0037337F"/>
    <w:rsid w:val="00385D7D"/>
    <w:rsid w:val="003C7239"/>
    <w:rsid w:val="003E4044"/>
    <w:rsid w:val="00507BB6"/>
    <w:rsid w:val="00766E7C"/>
    <w:rsid w:val="007F2FD9"/>
    <w:rsid w:val="00827A41"/>
    <w:rsid w:val="00912682"/>
    <w:rsid w:val="00B5146E"/>
    <w:rsid w:val="00E84D4E"/>
    <w:rsid w:val="00EA09A5"/>
    <w:rsid w:val="00F514C6"/>
    <w:rsid w:val="00F55553"/>
    <w:rsid w:val="00F65DAA"/>
    <w:rsid w:val="00F7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2F98"/>
  <w15:docId w15:val="{55487039-E397-4CCF-8D97-C31D0953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1212</cp:lastModifiedBy>
  <cp:revision>8</cp:revision>
  <cp:lastPrinted>2023-09-29T06:24:00Z</cp:lastPrinted>
  <dcterms:created xsi:type="dcterms:W3CDTF">2023-09-28T11:55:00Z</dcterms:created>
  <dcterms:modified xsi:type="dcterms:W3CDTF">2023-11-24T14:00:00Z</dcterms:modified>
</cp:coreProperties>
</file>