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BA4" w:rsidRDefault="00FF2BA4" w:rsidP="0070361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39"/>
          <w:szCs w:val="39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FF0000"/>
          <w:sz w:val="39"/>
          <w:szCs w:val="39"/>
          <w:lang w:eastAsia="ru-RU"/>
        </w:rPr>
        <w:drawing>
          <wp:inline distT="0" distB="0" distL="0" distR="0" wp14:anchorId="0C91507F" wp14:editId="3DC9D055">
            <wp:extent cx="5940425" cy="2132444"/>
            <wp:effectExtent l="0" t="0" r="3175" b="1270"/>
            <wp:docPr id="1" name="Рисунок 1" descr="C:\Users\79371\AppData\Local\Microsoft\Windows\INetCache\Content.Word\Логотип Точка Рост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79371\AppData\Local\Microsoft\Windows\INetCache\Content.Word\Логотип Точка Роста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132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361B" w:rsidRPr="0070361B" w:rsidRDefault="00FF2BA4" w:rsidP="00FF2BA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60ABC34D" wp14:editId="38704EE5">
            <wp:simplePos x="0" y="0"/>
            <wp:positionH relativeFrom="column">
              <wp:posOffset>1777365</wp:posOffset>
            </wp:positionH>
            <wp:positionV relativeFrom="paragraph">
              <wp:posOffset>306705</wp:posOffset>
            </wp:positionV>
            <wp:extent cx="2769870" cy="905510"/>
            <wp:effectExtent l="0" t="0" r="0" b="8890"/>
            <wp:wrapTight wrapText="bothSides">
              <wp:wrapPolygon edited="0">
                <wp:start x="0" y="0"/>
                <wp:lineTo x="0" y="21358"/>
                <wp:lineTo x="21392" y="21358"/>
                <wp:lineTo x="21392" y="0"/>
                <wp:lineTo x="0" y="0"/>
              </wp:wrapPolygon>
            </wp:wrapTight>
            <wp:docPr id="5" name="Рисунок 5" descr="Page1-1024x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ge1-1024x33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9870" cy="905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361B" w:rsidRPr="0070361B">
        <w:rPr>
          <w:rFonts w:ascii="Times New Roman" w:eastAsia="Times New Roman" w:hAnsi="Times New Roman" w:cs="Times New Roman"/>
          <w:b/>
          <w:bCs/>
          <w:color w:val="FF0000"/>
          <w:sz w:val="39"/>
          <w:szCs w:val="39"/>
          <w:lang w:eastAsia="ru-RU"/>
        </w:rPr>
        <w:t xml:space="preserve">Центр </w:t>
      </w:r>
      <w:proofErr w:type="gramStart"/>
      <w:r w:rsidR="0070361B" w:rsidRPr="0070361B">
        <w:rPr>
          <w:rFonts w:ascii="Times New Roman" w:eastAsia="Times New Roman" w:hAnsi="Times New Roman" w:cs="Times New Roman"/>
          <w:b/>
          <w:bCs/>
          <w:color w:val="FF0000"/>
          <w:sz w:val="39"/>
          <w:szCs w:val="39"/>
          <w:lang w:eastAsia="ru-RU"/>
        </w:rPr>
        <w:t>естественно</w:t>
      </w:r>
      <w:r w:rsidR="00A06FDB">
        <w:rPr>
          <w:rFonts w:ascii="Times New Roman" w:eastAsia="Times New Roman" w:hAnsi="Times New Roman" w:cs="Times New Roman"/>
          <w:b/>
          <w:bCs/>
          <w:color w:val="FF0000"/>
          <w:sz w:val="39"/>
          <w:szCs w:val="39"/>
          <w:lang w:eastAsia="ru-RU"/>
        </w:rPr>
        <w:t>-</w:t>
      </w:r>
      <w:r w:rsidR="0070361B" w:rsidRPr="0070361B">
        <w:rPr>
          <w:rFonts w:ascii="Times New Roman" w:eastAsia="Times New Roman" w:hAnsi="Times New Roman" w:cs="Times New Roman"/>
          <w:b/>
          <w:bCs/>
          <w:color w:val="FF0000"/>
          <w:sz w:val="39"/>
          <w:szCs w:val="39"/>
          <w:lang w:eastAsia="ru-RU"/>
        </w:rPr>
        <w:t>научной</w:t>
      </w:r>
      <w:proofErr w:type="gramEnd"/>
      <w:r w:rsidR="0070361B" w:rsidRPr="0070361B">
        <w:rPr>
          <w:rFonts w:ascii="Times New Roman" w:eastAsia="Times New Roman" w:hAnsi="Times New Roman" w:cs="Times New Roman"/>
          <w:b/>
          <w:bCs/>
          <w:color w:val="FF0000"/>
          <w:sz w:val="39"/>
          <w:szCs w:val="39"/>
          <w:lang w:eastAsia="ru-RU"/>
        </w:rPr>
        <w:t xml:space="preserve"> направленност</w:t>
      </w:r>
      <w:r w:rsidR="00334A34">
        <w:rPr>
          <w:rFonts w:ascii="Times New Roman" w:eastAsia="Times New Roman" w:hAnsi="Times New Roman" w:cs="Times New Roman"/>
          <w:b/>
          <w:bCs/>
          <w:color w:val="FF0000"/>
          <w:sz w:val="39"/>
          <w:szCs w:val="39"/>
          <w:lang w:eastAsia="ru-RU"/>
        </w:rPr>
        <w:t>и</w:t>
      </w:r>
      <w:r w:rsidR="0070361B" w:rsidRPr="0070361B">
        <w:rPr>
          <w:rFonts w:ascii="Times New Roman" w:eastAsia="Times New Roman" w:hAnsi="Times New Roman" w:cs="Times New Roman"/>
          <w:b/>
          <w:bCs/>
          <w:color w:val="FF0000"/>
          <w:sz w:val="39"/>
          <w:szCs w:val="39"/>
          <w:lang w:eastAsia="ru-RU"/>
        </w:rPr>
        <w:t xml:space="preserve"> </w:t>
      </w:r>
      <w:r w:rsidR="00A06FDB">
        <w:rPr>
          <w:rFonts w:ascii="Times New Roman" w:eastAsia="Times New Roman" w:hAnsi="Times New Roman" w:cs="Times New Roman"/>
          <w:b/>
          <w:bCs/>
          <w:color w:val="FF0000"/>
          <w:sz w:val="39"/>
          <w:szCs w:val="39"/>
          <w:lang w:eastAsia="ru-RU"/>
        </w:rPr>
        <w:t xml:space="preserve"> </w:t>
      </w:r>
      <w:r w:rsidR="0070361B" w:rsidRPr="0070361B">
        <w:rPr>
          <w:rFonts w:ascii="Times New Roman" w:eastAsia="Times New Roman" w:hAnsi="Times New Roman" w:cs="Times New Roman"/>
          <w:b/>
          <w:bCs/>
          <w:color w:val="FF0000"/>
          <w:sz w:val="39"/>
          <w:szCs w:val="39"/>
          <w:lang w:eastAsia="ru-RU"/>
        </w:rPr>
        <w:t>"Точка роста"</w:t>
      </w:r>
    </w:p>
    <w:p w:rsidR="0070361B" w:rsidRPr="0070361B" w:rsidRDefault="0070361B" w:rsidP="0070361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361B" w:rsidRPr="0070361B" w:rsidRDefault="0070361B" w:rsidP="0070361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sz w:val="24"/>
          <w:szCs w:val="24"/>
          <w:lang w:eastAsia="ru-RU"/>
        </w:rPr>
        <w:t>   </w:t>
      </w:r>
      <w:r w:rsidR="00FF2BA4" w:rsidRPr="0070361B">
        <w:rPr>
          <w:rFonts w:ascii="Times New Roman" w:eastAsia="Times New Roman" w:hAnsi="Times New Roman" w:cs="Times New Roman"/>
          <w:noProof/>
          <w:color w:val="0069A9"/>
          <w:sz w:val="24"/>
          <w:szCs w:val="24"/>
          <w:lang w:eastAsia="ru-RU"/>
        </w:rPr>
        <w:drawing>
          <wp:inline distT="0" distB="0" distL="0" distR="0" wp14:anchorId="3F7B1BC0" wp14:editId="70E46AEA">
            <wp:extent cx="4264025" cy="1908175"/>
            <wp:effectExtent l="0" t="0" r="3175" b="0"/>
            <wp:docPr id="2" name="Рисунок 2" descr="https://donsosh20.3dn.ru/info/tohka_rosta/ministerstvo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donsosh20.3dn.ru/info/tohka_rosta/ministerstvo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4025" cy="190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361B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      </w:t>
      </w:r>
      <w:r w:rsidR="00FF2BA4" w:rsidRPr="0070361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842D751" wp14:editId="774B0335">
            <wp:extent cx="2180590" cy="729615"/>
            <wp:effectExtent l="0" t="0" r="0" b="0"/>
            <wp:docPr id="4" name="Рисунок 4" descr="https://donsosh20.3dn.ru/info/tohka_rosta/logotip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donsosh20.3dn.ru/info/tohka_rosta/logotip_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0590" cy="729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36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                              </w:t>
      </w:r>
    </w:p>
    <w:p w:rsidR="0070361B" w:rsidRPr="0070361B" w:rsidRDefault="00815614" w:rsidP="007036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.75pt" o:hralign="center" o:hrstd="t" o:hrnoshade="t" o:hr="t" fillcolor="#ccc" stroked="f"/>
        </w:pict>
      </w:r>
    </w:p>
    <w:p w:rsidR="0070361B" w:rsidRPr="0070361B" w:rsidRDefault="0070361B" w:rsidP="0070361B">
      <w:pPr>
        <w:spacing w:before="100" w:beforeAutospacing="1" w:after="100" w:afterAutospacing="1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b/>
          <w:bCs/>
          <w:color w:val="0099CC"/>
          <w:sz w:val="36"/>
          <w:szCs w:val="36"/>
          <w:lang w:eastAsia="ru-RU"/>
        </w:rPr>
        <w:t>Общая информация о центре «Точка роста»</w:t>
      </w:r>
    </w:p>
    <w:p w:rsidR="0070361B" w:rsidRPr="0070361B" w:rsidRDefault="0070361B" w:rsidP="0070361B">
      <w:pPr>
        <w:spacing w:before="30" w:after="100" w:afterAutospacing="1" w:line="240" w:lineRule="auto"/>
        <w:ind w:left="105" w:right="585" w:firstLine="70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Центр образования естественно-научной </w:t>
      </w:r>
      <w:bookmarkStart w:id="0" w:name="_GoBack"/>
      <w:bookmarkEnd w:id="0"/>
      <w:r w:rsidR="0081561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направленности</w:t>
      </w: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«Точка роста» на базе </w:t>
      </w:r>
      <w:r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МКОУ «</w:t>
      </w:r>
      <w:proofErr w:type="spellStart"/>
      <w:r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Стальская</w:t>
      </w:r>
      <w:proofErr w:type="spellEnd"/>
      <w:r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 xml:space="preserve"> гимназия» </w:t>
      </w: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создан в </w:t>
      </w:r>
      <w:r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2022</w:t>
      </w: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 xml:space="preserve"> году</w:t>
      </w: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 в рамках федерального проекта «Современная школа» национального проекта «Образование». Он призван обеспечить повышение охвата обучающихся программами основного общего и дополнительного образования естественно-научной и </w:t>
      </w:r>
      <w:proofErr w:type="gramStart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технологической</w:t>
      </w:r>
      <w:proofErr w:type="gramEnd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направленностей с использованием современного оборудования.</w:t>
      </w:r>
    </w:p>
    <w:p w:rsidR="0070361B" w:rsidRPr="0070361B" w:rsidRDefault="0070361B" w:rsidP="0070361B">
      <w:pPr>
        <w:spacing w:before="100" w:beforeAutospacing="1" w:after="100" w:afterAutospacing="1" w:line="240" w:lineRule="auto"/>
        <w:ind w:left="105" w:right="585" w:firstLine="70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Центры «Точка роста» на базе общеобразовательных организаций сельской местности и малых городов создаются для формирования условий для повышения качества общего </w:t>
      </w: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lastRenderedPageBreak/>
        <w:t>образования, в том числе за счет обновления учебных помещений, приобретения современного оборудования, повышения квалификации педагогических работников и расширения практического содержания реализуемых образовательных программ.</w:t>
      </w:r>
    </w:p>
    <w:p w:rsidR="0070361B" w:rsidRPr="0070361B" w:rsidRDefault="0070361B" w:rsidP="0070361B">
      <w:pPr>
        <w:spacing w:before="100" w:beforeAutospacing="1" w:after="100" w:afterAutospacing="1" w:line="240" w:lineRule="auto"/>
        <w:ind w:left="105" w:right="585" w:firstLine="70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Центр «Точка роста» является частью образовательной среды общеобразовательной организации, на базе которой осуществляется:</w:t>
      </w:r>
    </w:p>
    <w:p w:rsidR="0070361B" w:rsidRPr="0070361B" w:rsidRDefault="0070361B" w:rsidP="0070361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преподавание учебных   предметов   из   предметных   областей</w:t>
      </w:r>
      <w:r w:rsidRPr="0070361B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«</w:t>
      </w:r>
      <w:proofErr w:type="gramStart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Естественно-научные</w:t>
      </w:r>
      <w:proofErr w:type="gramEnd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предметы», «Естественные науки», «Обществознание и естествознание», «Математика и информатика», «Технология»;</w:t>
      </w:r>
    </w:p>
    <w:p w:rsidR="0070361B" w:rsidRPr="0070361B" w:rsidRDefault="0070361B" w:rsidP="0070361B">
      <w:pPr>
        <w:numPr>
          <w:ilvl w:val="0"/>
          <w:numId w:val="1"/>
        </w:numPr>
        <w:spacing w:before="100" w:beforeAutospacing="1" w:after="100" w:afterAutospacing="1" w:line="240" w:lineRule="auto"/>
        <w:ind w:right="5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внеурочная деятельность для поддержки изучения предметов </w:t>
      </w:r>
      <w:proofErr w:type="gramStart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естественно-научной</w:t>
      </w:r>
      <w:proofErr w:type="gramEnd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и технологической направленностей;</w:t>
      </w:r>
    </w:p>
    <w:p w:rsidR="0070361B" w:rsidRPr="0070361B" w:rsidRDefault="0070361B" w:rsidP="0070361B">
      <w:pPr>
        <w:numPr>
          <w:ilvl w:val="0"/>
          <w:numId w:val="1"/>
        </w:numPr>
        <w:spacing w:before="100" w:beforeAutospacing="1" w:after="100" w:afterAutospacing="1" w:line="240" w:lineRule="auto"/>
        <w:ind w:right="5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дополнительное образование детей по программам естественно-научной и </w:t>
      </w:r>
      <w:proofErr w:type="gramStart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технической</w:t>
      </w:r>
      <w:proofErr w:type="gramEnd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направленностей;</w:t>
      </w:r>
    </w:p>
    <w:p w:rsidR="0070361B" w:rsidRPr="0070361B" w:rsidRDefault="0070361B" w:rsidP="0070361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проведение внеклассных мероприятий </w:t>
      </w:r>
      <w:proofErr w:type="gramStart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для</w:t>
      </w:r>
      <w:proofErr w:type="gramEnd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обучающихся;</w:t>
      </w:r>
    </w:p>
    <w:p w:rsidR="0070361B" w:rsidRPr="0070361B" w:rsidRDefault="0070361B" w:rsidP="0070361B">
      <w:pPr>
        <w:numPr>
          <w:ilvl w:val="0"/>
          <w:numId w:val="1"/>
        </w:numPr>
        <w:spacing w:before="30" w:after="100" w:afterAutospacing="1" w:line="240" w:lineRule="auto"/>
        <w:ind w:right="5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организация образовательных мероприятий, в том числе в дистанционном формате с участием обучающихся из других образовательных организаций.</w:t>
      </w:r>
    </w:p>
    <w:p w:rsidR="0070361B" w:rsidRPr="0070361B" w:rsidRDefault="0070361B" w:rsidP="0070361B">
      <w:pPr>
        <w:spacing w:before="60" w:after="100" w:afterAutospacing="1" w:line="240" w:lineRule="auto"/>
        <w:ind w:left="105" w:right="585" w:firstLine="70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Центры «Точка роста» создаются при поддержке Министерства просвещения Российской Федерации.</w:t>
      </w:r>
    </w:p>
    <w:p w:rsidR="0070361B" w:rsidRPr="0070361B" w:rsidRDefault="0070361B" w:rsidP="0070361B">
      <w:pPr>
        <w:spacing w:before="100" w:beforeAutospacing="1" w:after="100" w:afterAutospacing="1" w:line="240" w:lineRule="auto"/>
        <w:ind w:left="105" w:right="585" w:firstLine="70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Адрес сайта Министерства просвещения Российской Федерации: </w:t>
      </w:r>
      <w:hyperlink r:id="rId11" w:history="1">
        <w:r w:rsidRPr="0070361B">
          <w:rPr>
            <w:rFonts w:ascii="Times New Roman" w:eastAsia="Times New Roman" w:hAnsi="Times New Roman" w:cs="Times New Roman"/>
            <w:color w:val="0000FF"/>
            <w:sz w:val="30"/>
            <w:szCs w:val="30"/>
            <w:u w:val="single"/>
            <w:lang w:eastAsia="ru-RU"/>
          </w:rPr>
          <w:t>https://edu.gov.ru/</w:t>
        </w:r>
      </w:hyperlink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</w:p>
    <w:p w:rsidR="0070361B" w:rsidRPr="0070361B" w:rsidRDefault="0070361B" w:rsidP="0070361B">
      <w:pPr>
        <w:spacing w:before="100" w:beforeAutospacing="1" w:after="100" w:afterAutospacing="1" w:line="240" w:lineRule="auto"/>
        <w:ind w:left="105" w:right="585" w:firstLine="70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Информация о национальном проекте «Образование» размещена на сайте Министерства просвещения Российской Федерации по ссылке: </w:t>
      </w:r>
      <w:hyperlink r:id="rId12" w:history="1">
        <w:r w:rsidRPr="0070361B">
          <w:rPr>
            <w:rFonts w:ascii="Times New Roman" w:eastAsia="Times New Roman" w:hAnsi="Times New Roman" w:cs="Times New Roman"/>
            <w:color w:val="0000FF"/>
            <w:sz w:val="30"/>
            <w:szCs w:val="30"/>
            <w:u w:val="single"/>
            <w:lang w:eastAsia="ru-RU"/>
          </w:rPr>
          <w:t>https://edu.gov.ru/national-project/</w:t>
        </w:r>
      </w:hyperlink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</w:p>
    <w:p w:rsidR="0070361B" w:rsidRPr="0070361B" w:rsidRDefault="0070361B" w:rsidP="0070361B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sz w:val="30"/>
          <w:szCs w:val="30"/>
          <w:lang w:eastAsia="ru-RU"/>
        </w:rPr>
        <w:t> Федеральным оператором мероприятий по созданию Центров «Точка роста» является ФГАУ "Центр просветительских инициатив Министерства просвещения Российской Федерации".  Адрес сайта Федерального оператора: </w:t>
      </w:r>
      <w:hyperlink r:id="rId13" w:tgtFrame="_blank" w:history="1">
        <w:r w:rsidRPr="0070361B">
          <w:rPr>
            <w:rFonts w:ascii="Georgia" w:eastAsia="Times New Roman" w:hAnsi="Georgia" w:cs="Times New Roman"/>
            <w:color w:val="0000FF"/>
            <w:sz w:val="27"/>
            <w:szCs w:val="27"/>
            <w:u w:val="single"/>
            <w:lang w:eastAsia="ru-RU"/>
          </w:rPr>
          <w:t>https://mpcenter.ru/</w:t>
        </w:r>
      </w:hyperlink>
      <w:r w:rsidRPr="0070361B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70361B" w:rsidRPr="0070361B" w:rsidRDefault="0070361B" w:rsidP="0070361B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 xml:space="preserve">  </w:t>
      </w:r>
      <w:proofErr w:type="gramStart"/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Центр  образования естественно-научной и технологической профилей «Точка роста» создается как структурное подразделение общеобразовательной организации, осуществляющей образовательную деятельность по основным общеобразовательным программам,  расположенной  в малом городе -  Донецке и направлен на формирование современных компетенций и навыков у обучающихся, в том числе по предметным областям «Химия», «Физика», «Биология».</w:t>
      </w:r>
      <w:proofErr w:type="gramEnd"/>
    </w:p>
    <w:p w:rsidR="0070361B" w:rsidRPr="0070361B" w:rsidRDefault="0070361B" w:rsidP="0070361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lastRenderedPageBreak/>
        <w:t>   </w:t>
      </w:r>
      <w:r w:rsidRPr="0070361B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Целями д</w:t>
      </w:r>
      <w:r w:rsidRPr="0070361B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bdr w:val="none" w:sz="0" w:space="0" w:color="auto" w:frame="1"/>
          <w:lang w:eastAsia="ru-RU"/>
        </w:rPr>
        <w:t>еятельности Центра  являются:</w:t>
      </w:r>
    </w:p>
    <w:p w:rsidR="0070361B" w:rsidRPr="0070361B" w:rsidRDefault="0070361B" w:rsidP="0070361B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 xml:space="preserve">создание условий для внедрения на уровнях начального общего, основного общего и (или) среднего общего образования новых методов обучения и воспитания, образовательных технологий, обеспечивающих освоение </w:t>
      </w:r>
      <w:proofErr w:type="gramStart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обучающимися</w:t>
      </w:r>
      <w:proofErr w:type="gramEnd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 xml:space="preserve"> основных и дополнительных общеобразовательных программ цифрового, естественнонаучного, технического и гуманитарного профилей,</w:t>
      </w:r>
    </w:p>
    <w:p w:rsidR="0070361B" w:rsidRPr="0070361B" w:rsidRDefault="0070361B" w:rsidP="0070361B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обновление содержания и совершенствование методов обучения предметных областей «Химия», «Физика», «Биология».</w:t>
      </w:r>
    </w:p>
    <w:p w:rsidR="0070361B" w:rsidRPr="0070361B" w:rsidRDefault="0070361B" w:rsidP="0070361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 </w:t>
      </w:r>
      <w:proofErr w:type="gramStart"/>
      <w:r w:rsidRPr="0070361B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bdr w:val="none" w:sz="0" w:space="0" w:color="auto" w:frame="1"/>
          <w:lang w:eastAsia="ru-RU"/>
        </w:rPr>
        <w:t>Задачами Центра</w:t>
      </w:r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 являются охват своей деятельностью на обновленной материально-технической базе не менее 100% обучающихся образовательной организации, осваивающих основную общеобразовательную программу по предметным областям ««Химия», «Физика», «Биология», а также обеспечение не менее 70% охвата от общего контингента обучающихся в образовательной организации дополнительными общеобразовательными программами цифрового, естественнонаучного, технического и гуманитарного профилей во внеурочное время, в том числе с использованием дистанционных форм обучения</w:t>
      </w:r>
      <w:proofErr w:type="gramEnd"/>
      <w:r w:rsidRPr="0070361B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 xml:space="preserve"> и сетевого партнерства.</w:t>
      </w:r>
    </w:p>
    <w:p w:rsidR="0070361B" w:rsidRPr="0070361B" w:rsidRDefault="0070361B" w:rsidP="0070361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b/>
          <w:bCs/>
          <w:color w:val="342216"/>
          <w:sz w:val="30"/>
          <w:szCs w:val="30"/>
          <w:bdr w:val="none" w:sz="0" w:space="0" w:color="auto" w:frame="1"/>
          <w:lang w:eastAsia="ru-RU"/>
        </w:rPr>
        <w:t>   Функции Центра:</w:t>
      </w:r>
    </w:p>
    <w:p w:rsidR="0070361B" w:rsidRPr="0070361B" w:rsidRDefault="0070361B" w:rsidP="0070361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Участие в реализации основных общеобразовательных программ в части предметных областей </w:t>
      </w:r>
      <w:r w:rsidRPr="0070361B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«Химия», «Физика», «Биология»</w:t>
      </w: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, в том числе обеспечение внедрения обновленного содержания преподавания основных общеобразовательных программ в рамках федерального проекта «Современная школа» национального проекта «Образование».</w:t>
      </w:r>
    </w:p>
    <w:p w:rsidR="0070361B" w:rsidRPr="0070361B" w:rsidRDefault="0070361B" w:rsidP="0070361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 xml:space="preserve">Реализация </w:t>
      </w:r>
      <w:proofErr w:type="spellStart"/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разноуровневых</w:t>
      </w:r>
      <w:proofErr w:type="spellEnd"/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 xml:space="preserve"> дополнительных общеобразовательных программ цифрового, естественнонаучного, технического и гуманитарного профилей, а также иных программ в рамках внеурочной деятельности обучающихся.</w:t>
      </w:r>
    </w:p>
    <w:p w:rsidR="0070361B" w:rsidRPr="0070361B" w:rsidRDefault="0070361B" w:rsidP="0070361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Обеспечение создания, апробации и внедрения модели равного доступа к современным общеобразовательным программам цифрового, естественнонаучного, технического и гуманитарного профилей детям иных населенных пунктов сельских территорий.</w:t>
      </w:r>
    </w:p>
    <w:p w:rsidR="0070361B" w:rsidRPr="0070361B" w:rsidRDefault="0070361B" w:rsidP="0070361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Внедрение сетевых форм реализации программ дополнительного образования.</w:t>
      </w:r>
    </w:p>
    <w:p w:rsidR="0070361B" w:rsidRPr="0070361B" w:rsidRDefault="0070361B" w:rsidP="0070361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Организация внеурочной деятельности в каникулярный период, разработка соответствующих образовательных программ, в том числе для пришкольных лагерей.</w:t>
      </w:r>
    </w:p>
    <w:p w:rsidR="0070361B" w:rsidRPr="0070361B" w:rsidRDefault="0070361B" w:rsidP="0070361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Содействие развитию шахматного образования.</w:t>
      </w:r>
    </w:p>
    <w:p w:rsidR="0070361B" w:rsidRPr="0070361B" w:rsidRDefault="0070361B" w:rsidP="0070361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Вовлечение обучающихся и педагогов в проектную деятельность.</w:t>
      </w:r>
    </w:p>
    <w:p w:rsidR="0070361B" w:rsidRPr="0070361B" w:rsidRDefault="0070361B" w:rsidP="0070361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lastRenderedPageBreak/>
        <w:t>Обеспечение реализации мер по непрерывному развитию педагогических и управленческих кадров, включая повышение квалификации руководителей и педагогов Центра, реализующих основные и дополнительные общеобразовательные программы цифрового, естественнонаучного, технического, гуманитарного и социокультурного профилей.</w:t>
      </w:r>
      <w:proofErr w:type="gramEnd"/>
    </w:p>
    <w:p w:rsidR="0070361B" w:rsidRPr="0070361B" w:rsidRDefault="0070361B" w:rsidP="0070361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Реализация мероприятий по информированию и просвещению населения в области цифровых и гуманитарных компетенций.</w:t>
      </w:r>
    </w:p>
    <w:p w:rsidR="0070361B" w:rsidRPr="0070361B" w:rsidRDefault="0070361B" w:rsidP="0070361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Информационное сопровождение учебно-воспитательной деятельности Центра, системы внеурочных мероприятий с совместным участием детей, педагогов, родительской общественности, в том числе на сайте образовательной организации и иных информационных ресурсах.</w:t>
      </w:r>
    </w:p>
    <w:p w:rsidR="0070361B" w:rsidRPr="0070361B" w:rsidRDefault="0070361B" w:rsidP="0070361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Содействие созданию и развитию общественного движения школьников, направленного на личностное развитие, социальную активность через проектную деятельность, различные программы дополнительного образования детей.</w:t>
      </w:r>
    </w:p>
    <w:p w:rsidR="0070361B" w:rsidRPr="0070361B" w:rsidRDefault="0070361B" w:rsidP="0070361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      В центре «Точки роста» будет осуществляться  единый подход к общеобразовательным программам, составленным в соответствии с новыми предметными областями </w:t>
      </w:r>
      <w:r w:rsidRPr="0070361B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«Химия», «Физика», «Биология».</w:t>
      </w:r>
    </w:p>
    <w:p w:rsidR="0070361B" w:rsidRPr="00334A34" w:rsidRDefault="0070361B" w:rsidP="0070361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</w:pPr>
      <w:r w:rsidRPr="0070361B"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  <w:t>    Данные предметные области будут реализовываться на уровнях начального, среднего и общего  образования, а также в формате урочных, внеурочных занятий и с помощью технологий дополнительного образования.  </w:t>
      </w:r>
    </w:p>
    <w:p w:rsidR="0070361B" w:rsidRPr="00334A34" w:rsidRDefault="0070361B" w:rsidP="0070361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</w:pPr>
    </w:p>
    <w:p w:rsidR="0070361B" w:rsidRPr="00334A34" w:rsidRDefault="0070361B" w:rsidP="0070361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42216"/>
          <w:sz w:val="30"/>
          <w:szCs w:val="30"/>
          <w:bdr w:val="none" w:sz="0" w:space="0" w:color="auto" w:frame="1"/>
          <w:lang w:eastAsia="ru-RU"/>
        </w:rPr>
      </w:pPr>
    </w:p>
    <w:p w:rsidR="0070361B" w:rsidRPr="00334A34" w:rsidRDefault="0070361B" w:rsidP="0070361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0162" w:rsidRDefault="003E0162"/>
    <w:sectPr w:rsidR="003E0162" w:rsidSect="00FF2BA4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CE6F23"/>
    <w:multiLevelType w:val="multilevel"/>
    <w:tmpl w:val="CF405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229180E"/>
    <w:multiLevelType w:val="multilevel"/>
    <w:tmpl w:val="15666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57E5418"/>
    <w:multiLevelType w:val="multilevel"/>
    <w:tmpl w:val="E4FA0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EC1256E"/>
    <w:multiLevelType w:val="multilevel"/>
    <w:tmpl w:val="4FB09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6633AA7"/>
    <w:multiLevelType w:val="multilevel"/>
    <w:tmpl w:val="D2083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9663C7C"/>
    <w:multiLevelType w:val="multilevel"/>
    <w:tmpl w:val="66BA7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D6A239D"/>
    <w:multiLevelType w:val="multilevel"/>
    <w:tmpl w:val="F572CC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61B"/>
    <w:rsid w:val="00334A34"/>
    <w:rsid w:val="003E0162"/>
    <w:rsid w:val="0070361B"/>
    <w:rsid w:val="00815614"/>
    <w:rsid w:val="00A06FDB"/>
    <w:rsid w:val="00E40286"/>
    <w:rsid w:val="00FF2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36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36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36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36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3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65582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6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494647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164486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05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840201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839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682654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656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78320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736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8024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633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886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5773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07215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612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630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1129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65252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223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576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3465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45981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2531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0086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3802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82273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39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4913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2409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72336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4551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133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9609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50204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902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099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921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8254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0590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9630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1305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56135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5522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90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0639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26317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293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9044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0238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6769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1339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0183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0917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01331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7955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2516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8006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0027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3411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230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0131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4787151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606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312301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8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170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038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3496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2283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53922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428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8915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158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67967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2745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235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9334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03480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688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4159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1991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11711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4747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1784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1179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09935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674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570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291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22918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867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0279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297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90020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611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8559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7913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66056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434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4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303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98151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5308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873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8098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00741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35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6493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5788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394177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4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010571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653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277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1166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188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3706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91029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117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5896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0093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7751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7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5035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780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41610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405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18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3319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62571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8996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8061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9894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64470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945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4387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4493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49916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4542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865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8347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085262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6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203900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u.gov.ru/" TargetMode="External"/><Relationship Id="rId13" Type="http://schemas.openxmlformats.org/officeDocument/2006/relationships/hyperlink" Target="https://mpcenter.ru/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hyperlink" Target="https://edu.gov.ru/national-projec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edu.gov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934</Words>
  <Characters>5329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Arslan Shabazov</dc:creator>
  <cp:lastModifiedBy>Arslan Shabazov</cp:lastModifiedBy>
  <cp:revision>7</cp:revision>
  <dcterms:created xsi:type="dcterms:W3CDTF">2022-09-12T18:08:00Z</dcterms:created>
  <dcterms:modified xsi:type="dcterms:W3CDTF">2024-01-20T00:00:00Z</dcterms:modified>
</cp:coreProperties>
</file>